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27" w:rsidRDefault="00907327" w:rsidP="00907327">
      <w:pPr>
        <w:jc w:val="center"/>
        <w:rPr>
          <w:rFonts w:ascii="Cambria" w:hAnsi="Cambria"/>
        </w:rPr>
      </w:pPr>
      <w:bookmarkStart w:id="0" w:name="_GoBack"/>
      <w:r>
        <w:rPr>
          <w:rFonts w:ascii="Cambria" w:hAnsi="Cambria"/>
          <w:noProof/>
          <w:lang w:val="it-IT" w:eastAsia="it-IT"/>
        </w:rPr>
        <w:drawing>
          <wp:inline distT="0" distB="0" distL="0" distR="0">
            <wp:extent cx="1743075" cy="2047875"/>
            <wp:effectExtent l="0" t="0" r="9525" b="9525"/>
            <wp:docPr id="1" name="Immagine 1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88C" w:rsidRPr="00DF2E5E" w:rsidRDefault="00DF2E5E" w:rsidP="00DF2E5E">
      <w:pPr>
        <w:pStyle w:val="Nessunaspaziatura"/>
        <w:jc w:val="center"/>
        <w:rPr>
          <w:rFonts w:ascii="Cambria" w:hAnsi="Cambria"/>
          <w:b/>
          <w:w w:val="84"/>
          <w:sz w:val="40"/>
          <w:szCs w:val="40"/>
          <w:lang w:val="it-IT"/>
        </w:rPr>
      </w:pPr>
      <w:r w:rsidRPr="00DF2E5E">
        <w:rPr>
          <w:rFonts w:ascii="Cambria" w:hAnsi="Cambria"/>
          <w:b/>
          <w:w w:val="84"/>
          <w:sz w:val="40"/>
          <w:szCs w:val="40"/>
          <w:lang w:val="it-IT"/>
        </w:rPr>
        <w:t xml:space="preserve">Comune di </w:t>
      </w:r>
      <w:r w:rsidR="00907327">
        <w:rPr>
          <w:rFonts w:ascii="Cambria" w:hAnsi="Cambria"/>
          <w:b/>
          <w:w w:val="84"/>
          <w:sz w:val="40"/>
          <w:szCs w:val="40"/>
          <w:lang w:val="it-IT"/>
        </w:rPr>
        <w:t>Pinarolo Po</w:t>
      </w:r>
    </w:p>
    <w:bookmarkEnd w:id="0"/>
    <w:p w:rsidR="00813D77" w:rsidRDefault="00813D77" w:rsidP="00CA2381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</w:p>
    <w:p w:rsidR="00CA2381" w:rsidRPr="00582444" w:rsidRDefault="00CA2381" w:rsidP="00CA2381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582444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Piano triennale di prevenzione della corruzione</w:t>
      </w:r>
    </w:p>
    <w:p w:rsidR="00CA2381" w:rsidRPr="00582444" w:rsidRDefault="00CA2381" w:rsidP="00CA2381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582444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2014 - 2016</w:t>
      </w:r>
    </w:p>
    <w:p w:rsidR="00CA2381" w:rsidRPr="00582444" w:rsidRDefault="00910810" w:rsidP="00CA2381">
      <w:pPr>
        <w:tabs>
          <w:tab w:val="left" w:pos="426"/>
        </w:tabs>
        <w:jc w:val="center"/>
        <w:rPr>
          <w:color w:val="C00000"/>
          <w:lang w:val="it-IT"/>
        </w:rPr>
      </w:pPr>
      <w:r w:rsidRPr="00582444">
        <w:rPr>
          <w:color w:val="C00000"/>
          <w:lang w:val="it-IT"/>
        </w:rPr>
        <w:t xml:space="preserve"> </w:t>
      </w:r>
    </w:p>
    <w:p w:rsidR="00946F98" w:rsidRPr="00582444" w:rsidRDefault="003F523D" w:rsidP="003F523D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582444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 xml:space="preserve">Allegato </w:t>
      </w:r>
      <w:r w:rsidR="00D602B5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1</w:t>
      </w:r>
    </w:p>
    <w:p w:rsidR="003F523D" w:rsidRPr="00582444" w:rsidRDefault="003F523D" w:rsidP="003F523D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</w:p>
    <w:p w:rsidR="00D602B5" w:rsidRDefault="00D602B5" w:rsidP="00D602B5">
      <w:pPr>
        <w:pStyle w:val="Nessunaspaziatura"/>
        <w:jc w:val="center"/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  <w:r w:rsidRPr="00D602B5"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>Aree a rischio</w:t>
      </w:r>
      <w:r>
        <w:rPr>
          <w:rFonts w:ascii="Cambria" w:hAnsi="Cambria"/>
          <w:b/>
          <w:color w:val="C00000"/>
          <w:w w:val="84"/>
          <w:sz w:val="40"/>
          <w:szCs w:val="40"/>
          <w:lang w:val="it-IT"/>
        </w:rPr>
        <w:t xml:space="preserve"> </w:t>
      </w:r>
      <w:r>
        <w:rPr>
          <w:rFonts w:ascii="Cambria" w:hAnsi="Cambria"/>
          <w:b/>
          <w:color w:val="C00000"/>
          <w:w w:val="84"/>
          <w:sz w:val="40"/>
          <w:szCs w:val="40"/>
          <w:lang w:val="it-IT"/>
        </w:rPr>
        <w:br w:type="page"/>
      </w:r>
    </w:p>
    <w:tbl>
      <w:tblPr>
        <w:tblStyle w:val="Stile1"/>
        <w:tblW w:w="10349" w:type="dxa"/>
        <w:tblInd w:w="-1001" w:type="dxa"/>
        <w:tblLook w:val="04A0" w:firstRow="1" w:lastRow="0" w:firstColumn="1" w:lastColumn="0" w:noHBand="0" w:noVBand="1"/>
      </w:tblPr>
      <w:tblGrid>
        <w:gridCol w:w="2470"/>
        <w:gridCol w:w="2946"/>
        <w:gridCol w:w="4933"/>
      </w:tblGrid>
      <w:tr w:rsidR="00D602B5" w:rsidRPr="00D602B5" w:rsidTr="00D602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tcW w:w="2410" w:type="dxa"/>
            <w:shd w:val="clear" w:color="auto" w:fill="D9D9D9" w:themeFill="background1" w:themeFillShade="D9"/>
            <w:hideMark/>
          </w:tcPr>
          <w:p w:rsidR="00D602B5" w:rsidRPr="00D602B5" w:rsidRDefault="00D602B5" w:rsidP="002D2699">
            <w:pPr>
              <w:jc w:val="center"/>
              <w:rPr>
                <w:rFonts w:ascii="Cambria" w:eastAsia="Times New Roman" w:hAnsi="Cambria"/>
                <w:b/>
                <w:bCs/>
                <w:color w:val="800000"/>
                <w:w w:val="84"/>
                <w:sz w:val="26"/>
                <w:szCs w:val="26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b/>
                <w:bCs/>
                <w:color w:val="800000"/>
                <w:w w:val="84"/>
                <w:sz w:val="26"/>
                <w:szCs w:val="26"/>
                <w:lang w:val="it-IT" w:eastAsia="it-IT"/>
              </w:rPr>
              <w:lastRenderedPageBreak/>
              <w:t>AREA</w:t>
            </w:r>
          </w:p>
        </w:tc>
        <w:tc>
          <w:tcPr>
            <w:tcW w:w="2906" w:type="dxa"/>
            <w:shd w:val="clear" w:color="auto" w:fill="D9D9D9" w:themeFill="background1" w:themeFillShade="D9"/>
            <w:hideMark/>
          </w:tcPr>
          <w:p w:rsidR="00D602B5" w:rsidRPr="00D602B5" w:rsidRDefault="00D602B5" w:rsidP="002D2699">
            <w:pPr>
              <w:jc w:val="center"/>
              <w:rPr>
                <w:rFonts w:ascii="Cambria" w:eastAsia="Times New Roman" w:hAnsi="Cambria"/>
                <w:b/>
                <w:bCs/>
                <w:color w:val="800000"/>
                <w:w w:val="84"/>
                <w:sz w:val="26"/>
                <w:szCs w:val="26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b/>
                <w:bCs/>
                <w:color w:val="800000"/>
                <w:w w:val="84"/>
                <w:sz w:val="26"/>
                <w:szCs w:val="26"/>
                <w:lang w:val="it-IT" w:eastAsia="it-IT"/>
              </w:rPr>
              <w:t>DESCRIZIONE</w:t>
            </w:r>
          </w:p>
        </w:tc>
        <w:tc>
          <w:tcPr>
            <w:tcW w:w="4873" w:type="dxa"/>
            <w:shd w:val="clear" w:color="auto" w:fill="D9D9D9" w:themeFill="background1" w:themeFillShade="D9"/>
            <w:hideMark/>
          </w:tcPr>
          <w:p w:rsidR="00D602B5" w:rsidRPr="00D602B5" w:rsidRDefault="00D602B5" w:rsidP="002D2699">
            <w:pPr>
              <w:jc w:val="center"/>
              <w:rPr>
                <w:rFonts w:ascii="Cambria" w:eastAsia="Times New Roman" w:hAnsi="Cambria"/>
                <w:b/>
                <w:bCs/>
                <w:color w:val="800000"/>
                <w:w w:val="84"/>
                <w:sz w:val="26"/>
                <w:szCs w:val="26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b/>
                <w:bCs/>
                <w:color w:val="800000"/>
                <w:w w:val="84"/>
                <w:sz w:val="26"/>
                <w:szCs w:val="26"/>
                <w:lang w:val="it-IT" w:eastAsia="it-IT"/>
              </w:rPr>
              <w:t>SOTTOAREA</w:t>
            </w:r>
          </w:p>
        </w:tc>
      </w:tr>
      <w:tr w:rsidR="00D602B5" w:rsidRPr="00D602B5" w:rsidTr="00D602B5">
        <w:tc>
          <w:tcPr>
            <w:tcW w:w="2410" w:type="dxa"/>
            <w:vMerge w:val="restart"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  <w:t>Acquisizione e progressione del personale</w:t>
            </w:r>
          </w:p>
        </w:tc>
        <w:tc>
          <w:tcPr>
            <w:tcW w:w="2906" w:type="dxa"/>
            <w:vMerge w:val="restart"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 xml:space="preserve">Processi </w:t>
            </w: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finalizzati all’acquisizione e alla progressione del personale</w:t>
            </w:r>
          </w:p>
        </w:tc>
        <w:tc>
          <w:tcPr>
            <w:tcW w:w="4873" w:type="dxa"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Reclutamento</w:t>
            </w:r>
          </w:p>
        </w:tc>
      </w:tr>
      <w:tr w:rsidR="00D602B5" w:rsidRPr="00D602B5" w:rsidTr="00D602B5">
        <w:tc>
          <w:tcPr>
            <w:tcW w:w="2410" w:type="dxa"/>
            <w:vMerge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Progressioni di carriera</w:t>
            </w:r>
          </w:p>
        </w:tc>
      </w:tr>
      <w:tr w:rsidR="00D602B5" w:rsidRPr="00D602B5" w:rsidTr="00D602B5">
        <w:tc>
          <w:tcPr>
            <w:tcW w:w="2410" w:type="dxa"/>
            <w:vMerge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FFF2CC" w:themeFill="accent4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Conferimento di incarichi di collaborazione</w:t>
            </w:r>
          </w:p>
        </w:tc>
      </w:tr>
      <w:tr w:rsidR="00D602B5" w:rsidRPr="00D602B5" w:rsidTr="009C71F2">
        <w:tc>
          <w:tcPr>
            <w:tcW w:w="2410" w:type="dxa"/>
            <w:vMerge w:val="restart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  <w:t>Affidamento di lavori, servizi e forniture</w:t>
            </w:r>
          </w:p>
        </w:tc>
        <w:tc>
          <w:tcPr>
            <w:tcW w:w="2906" w:type="dxa"/>
            <w:vMerge w:val="restart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</w:t>
            </w: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 xml:space="preserve">rocessi finalizzati all’affidamento di lavori, servizi e forniture nonché all’affidamento di ogni altro tipo di commessa o vantaggio pubblici disciplinato dal d.lgs. n. 163 del 2006 </w:t>
            </w: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Definizione dell’oggetto dell’affidamento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Individuazione dello strumento/istituto per l’affidamento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Requisiti di qualificazione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Requisiti di aggiudicazione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Valutazione delle offerte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Verifica dell’eventuale anomalia delle offerte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Procedure negoziate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Affidamenti diretti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Revoca del bando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Redazione del cronoprogramma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Varianti in corso di esecuzione del contratto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Subappalto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DEEAF6" w:themeFill="accent1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Utilizzo di rimedi di risoluzione delle controversie alternativi a quelli giurisdizionali durante la fase di esecuzione del contratto</w:t>
            </w:r>
          </w:p>
        </w:tc>
      </w:tr>
      <w:tr w:rsidR="00D602B5" w:rsidRPr="00D602B5" w:rsidTr="009C71F2">
        <w:tc>
          <w:tcPr>
            <w:tcW w:w="2410" w:type="dxa"/>
            <w:vMerge w:val="restart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  <w:t>Autorizzazione o concessione</w:t>
            </w:r>
          </w:p>
        </w:tc>
        <w:tc>
          <w:tcPr>
            <w:tcW w:w="2906" w:type="dxa"/>
            <w:vMerge w:val="restart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</w:t>
            </w: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rocessi finalizzati all’adozione di provvedimenti ampliativi della sfera giuridica dei destinatari privi di effetto economico diretto ed immediato per il destinatario</w:t>
            </w:r>
          </w:p>
        </w:tc>
        <w:tc>
          <w:tcPr>
            <w:tcW w:w="4873" w:type="dxa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vincolati nell’an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a contenuto vincolato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vincolati nell’an e a contenuto vincolato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a contenuto discrezionale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discrezionali nell’an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E2EFD9" w:themeFill="accent6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discrezionali nell’an e nel contenuto</w:t>
            </w:r>
          </w:p>
        </w:tc>
      </w:tr>
      <w:tr w:rsidR="00D602B5" w:rsidRPr="00D602B5" w:rsidTr="009C71F2">
        <w:tc>
          <w:tcPr>
            <w:tcW w:w="2410" w:type="dxa"/>
            <w:vMerge w:val="restart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  <w:t>Concessione ed erogazione di sovvenzioni e contributi</w:t>
            </w:r>
          </w:p>
        </w:tc>
        <w:tc>
          <w:tcPr>
            <w:tcW w:w="2906" w:type="dxa"/>
            <w:vMerge w:val="restart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</w:t>
            </w: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rocessi finalizzati all’adozione di provvedimenti ampliativi della sfera giuridica dei destinatari con effetto economico diretto ed immediato per il destinatario</w:t>
            </w:r>
          </w:p>
        </w:tc>
        <w:tc>
          <w:tcPr>
            <w:tcW w:w="4873" w:type="dxa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vincolati nell’an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a contenuto vincolato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vincolati nell’an e a contenuto vincolato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a contenuto discrezionale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discrezionali nell’an</w:t>
            </w:r>
          </w:p>
        </w:tc>
      </w:tr>
      <w:tr w:rsidR="00D602B5" w:rsidRPr="00D602B5" w:rsidTr="009C71F2">
        <w:tc>
          <w:tcPr>
            <w:tcW w:w="2410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w w:val="84"/>
                <w:lang w:val="it-IT" w:eastAsia="it-IT"/>
              </w:rPr>
            </w:pPr>
          </w:p>
        </w:tc>
        <w:tc>
          <w:tcPr>
            <w:tcW w:w="2906" w:type="dxa"/>
            <w:vMerge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</w:p>
        </w:tc>
        <w:tc>
          <w:tcPr>
            <w:tcW w:w="4873" w:type="dxa"/>
            <w:shd w:val="clear" w:color="auto" w:fill="FBE4D5" w:themeFill="accent2" w:themeFillTint="33"/>
            <w:hideMark/>
          </w:tcPr>
          <w:p w:rsidR="00D602B5" w:rsidRPr="00D602B5" w:rsidRDefault="00D602B5" w:rsidP="00D602B5">
            <w:pPr>
              <w:jc w:val="both"/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</w:pPr>
            <w:r w:rsidRPr="00D602B5">
              <w:rPr>
                <w:rFonts w:ascii="Cambria" w:eastAsia="Times New Roman" w:hAnsi="Cambria"/>
                <w:color w:val="000000"/>
                <w:w w:val="84"/>
                <w:lang w:val="it-IT" w:eastAsia="it-IT"/>
              </w:rPr>
              <w:t>Provvedimenti amministrativi discrezionali nell’an e nel contenuto</w:t>
            </w:r>
          </w:p>
        </w:tc>
      </w:tr>
    </w:tbl>
    <w:p w:rsidR="001E1933" w:rsidRDefault="001E1933">
      <w:pPr>
        <w:rPr>
          <w:rFonts w:ascii="Cambria" w:hAnsi="Cambria"/>
          <w:b/>
          <w:color w:val="C00000"/>
          <w:w w:val="84"/>
          <w:sz w:val="40"/>
          <w:szCs w:val="40"/>
          <w:lang w:val="it-IT"/>
        </w:rPr>
      </w:pPr>
    </w:p>
    <w:sectPr w:rsidR="001E1933" w:rsidSect="00D602B5">
      <w:pgSz w:w="11904" w:h="16843" w:code="9"/>
      <w:pgMar w:top="1134" w:right="1701" w:bottom="851" w:left="1701" w:header="720" w:footer="720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5BD" w:rsidRDefault="00BD05BD" w:rsidP="00946F98">
      <w:r>
        <w:separator/>
      </w:r>
    </w:p>
  </w:endnote>
  <w:endnote w:type="continuationSeparator" w:id="0">
    <w:p w:rsidR="00BD05BD" w:rsidRDefault="00BD05BD" w:rsidP="0094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Aharoni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5BD" w:rsidRDefault="00BD05BD" w:rsidP="00946F98">
      <w:r>
        <w:separator/>
      </w:r>
    </w:p>
  </w:footnote>
  <w:footnote w:type="continuationSeparator" w:id="0">
    <w:p w:rsidR="00BD05BD" w:rsidRDefault="00BD05BD" w:rsidP="00946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163F6"/>
    <w:multiLevelType w:val="hybridMultilevel"/>
    <w:tmpl w:val="360AA9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82EEE"/>
    <w:multiLevelType w:val="hybridMultilevel"/>
    <w:tmpl w:val="35C400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41D60"/>
    <w:multiLevelType w:val="hybridMultilevel"/>
    <w:tmpl w:val="497699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3114E"/>
    <w:multiLevelType w:val="multilevel"/>
    <w:tmpl w:val="4704E692"/>
    <w:lvl w:ilvl="0">
      <w:start w:val="1"/>
      <w:numFmt w:val="decimal"/>
      <w:pStyle w:val="Articolo"/>
      <w:lvlText w:val="%1."/>
      <w:lvlJc w:val="left"/>
      <w:pPr>
        <w:ind w:left="575" w:hanging="360"/>
      </w:pPr>
      <w:rPr>
        <w:rFonts w:ascii="Cambria" w:hAnsi="Cambria" w:hint="default"/>
        <w:b w:val="0"/>
        <w:caps w:val="0"/>
        <w:strike w:val="0"/>
        <w:dstrike w:val="0"/>
        <w:vanish w:val="0"/>
        <w:color w:val="000000"/>
        <w:spacing w:val="0"/>
        <w:w w:val="84"/>
        <w:kern w:val="0"/>
        <w:position w:val="0"/>
        <w:sz w:val="22"/>
        <w:szCs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BE226B"/>
    <w:multiLevelType w:val="hybridMultilevel"/>
    <w:tmpl w:val="5066F2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D10582"/>
    <w:multiLevelType w:val="hybridMultilevel"/>
    <w:tmpl w:val="EAC077F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D052F"/>
    <w:multiLevelType w:val="hybridMultilevel"/>
    <w:tmpl w:val="3DA427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46839"/>
    <w:multiLevelType w:val="multilevel"/>
    <w:tmpl w:val="515EE8E8"/>
    <w:lvl w:ilvl="0">
      <w:start w:val="1"/>
      <w:numFmt w:val="lowerLetter"/>
      <w:pStyle w:val="Titolo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4BA3436"/>
    <w:multiLevelType w:val="hybridMultilevel"/>
    <w:tmpl w:val="F3D6F844"/>
    <w:lvl w:ilvl="0" w:tplc="F070A9A2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35FF9"/>
    <w:multiLevelType w:val="hybridMultilevel"/>
    <w:tmpl w:val="38B615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CA"/>
    <w:rsid w:val="000744BB"/>
    <w:rsid w:val="000B6E15"/>
    <w:rsid w:val="000B707D"/>
    <w:rsid w:val="001D088C"/>
    <w:rsid w:val="001E1933"/>
    <w:rsid w:val="001E5DDD"/>
    <w:rsid w:val="002214AB"/>
    <w:rsid w:val="0023121E"/>
    <w:rsid w:val="00235E65"/>
    <w:rsid w:val="00253535"/>
    <w:rsid w:val="00264BEB"/>
    <w:rsid w:val="00317645"/>
    <w:rsid w:val="003634AA"/>
    <w:rsid w:val="003F523D"/>
    <w:rsid w:val="0040305E"/>
    <w:rsid w:val="004B63CB"/>
    <w:rsid w:val="00536CB2"/>
    <w:rsid w:val="00582444"/>
    <w:rsid w:val="005F7C65"/>
    <w:rsid w:val="00603374"/>
    <w:rsid w:val="006735CA"/>
    <w:rsid w:val="00683120"/>
    <w:rsid w:val="006C00D3"/>
    <w:rsid w:val="00746172"/>
    <w:rsid w:val="007D01CA"/>
    <w:rsid w:val="007D3CDC"/>
    <w:rsid w:val="00813D77"/>
    <w:rsid w:val="00822E62"/>
    <w:rsid w:val="008456A2"/>
    <w:rsid w:val="00850C53"/>
    <w:rsid w:val="00875973"/>
    <w:rsid w:val="008B1543"/>
    <w:rsid w:val="008C368C"/>
    <w:rsid w:val="00907327"/>
    <w:rsid w:val="00910810"/>
    <w:rsid w:val="00924AA0"/>
    <w:rsid w:val="00935EB6"/>
    <w:rsid w:val="00946F98"/>
    <w:rsid w:val="009A1810"/>
    <w:rsid w:val="009C71F2"/>
    <w:rsid w:val="009E1D7B"/>
    <w:rsid w:val="00A47124"/>
    <w:rsid w:val="00A91C08"/>
    <w:rsid w:val="00A91F1D"/>
    <w:rsid w:val="00AD2A2B"/>
    <w:rsid w:val="00AF693A"/>
    <w:rsid w:val="00B524F5"/>
    <w:rsid w:val="00B841FF"/>
    <w:rsid w:val="00BA345B"/>
    <w:rsid w:val="00BD05BD"/>
    <w:rsid w:val="00C04ED0"/>
    <w:rsid w:val="00CA2381"/>
    <w:rsid w:val="00CC0546"/>
    <w:rsid w:val="00D3329C"/>
    <w:rsid w:val="00D602B5"/>
    <w:rsid w:val="00D7346C"/>
    <w:rsid w:val="00D77BFF"/>
    <w:rsid w:val="00DB4945"/>
    <w:rsid w:val="00DD23D0"/>
    <w:rsid w:val="00DF2E5E"/>
    <w:rsid w:val="00EC2F67"/>
    <w:rsid w:val="00F225C6"/>
    <w:rsid w:val="00F638FD"/>
    <w:rsid w:val="00F877B7"/>
    <w:rsid w:val="00F9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ED5D4F-3A90-4514-81A1-CF100CCB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F225C6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1E1933"/>
    <w:pPr>
      <w:keepNext/>
      <w:keepLines/>
      <w:numPr>
        <w:numId w:val="9"/>
      </w:numPr>
      <w:spacing w:before="240" w:after="240"/>
      <w:ind w:left="426" w:hanging="357"/>
      <w:jc w:val="both"/>
      <w:outlineLvl w:val="0"/>
    </w:pPr>
    <w:rPr>
      <w:rFonts w:ascii="Cambria" w:eastAsia="Times New Roman" w:hAnsi="Cambria" w:cstheme="majorBidi"/>
      <w:caps/>
      <w:color w:val="C00000"/>
      <w:w w:val="84"/>
      <w:sz w:val="40"/>
      <w:szCs w:val="40"/>
      <w:lang w:val="it-IT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8C368C"/>
    <w:pPr>
      <w:keepNext/>
      <w:keepLines/>
      <w:numPr>
        <w:numId w:val="10"/>
      </w:numPr>
      <w:spacing w:line="360" w:lineRule="auto"/>
      <w:outlineLvl w:val="1"/>
    </w:pPr>
    <w:rPr>
      <w:rFonts w:ascii="Cambria" w:eastAsia="Times New Roman" w:hAnsi="Cambria" w:cstheme="majorBidi"/>
      <w:b/>
      <w:bCs/>
      <w:iCs/>
      <w:color w:val="CC3300"/>
      <w:w w:val="84"/>
      <w:sz w:val="24"/>
      <w:szCs w:val="24"/>
      <w:lang w:val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46172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1933"/>
    <w:rPr>
      <w:rFonts w:ascii="Cambria" w:eastAsia="Times New Roman" w:hAnsi="Cambria" w:cstheme="majorBidi"/>
      <w:caps/>
      <w:color w:val="C00000"/>
      <w:w w:val="84"/>
      <w:sz w:val="40"/>
      <w:szCs w:val="40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C368C"/>
    <w:rPr>
      <w:rFonts w:ascii="Cambria" w:eastAsia="Times New Roman" w:hAnsi="Cambria" w:cstheme="majorBidi"/>
      <w:b/>
      <w:bCs/>
      <w:iCs/>
      <w:color w:val="CC3300"/>
      <w:w w:val="84"/>
      <w:sz w:val="24"/>
      <w:szCs w:val="24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46172"/>
    <w:rPr>
      <w:rFonts w:ascii="Cambria" w:eastAsia="Times New Roman" w:hAnsi="Cambria"/>
      <w:b/>
      <w:bCs/>
      <w:sz w:val="26"/>
      <w:szCs w:val="26"/>
      <w:lang w:val="it-IT"/>
    </w:rPr>
  </w:style>
  <w:style w:type="paragraph" w:customStyle="1" w:styleId="Articolo">
    <w:name w:val="Articolo"/>
    <w:basedOn w:val="Normale"/>
    <w:link w:val="ArticoloCarattere"/>
    <w:autoRedefine/>
    <w:qFormat/>
    <w:rsid w:val="00935EB6"/>
    <w:pPr>
      <w:numPr>
        <w:numId w:val="1"/>
      </w:numPr>
      <w:jc w:val="both"/>
      <w:textAlignment w:val="baseline"/>
    </w:pPr>
    <w:rPr>
      <w:rFonts w:ascii="Cambria" w:eastAsia="Times New Roman" w:hAnsi="Cambria"/>
      <w:color w:val="000000"/>
      <w:w w:val="84"/>
      <w:lang w:val="it-IT"/>
    </w:rPr>
  </w:style>
  <w:style w:type="character" w:customStyle="1" w:styleId="ArticoloCarattere">
    <w:name w:val="Articolo Carattere"/>
    <w:basedOn w:val="Carpredefinitoparagrafo"/>
    <w:link w:val="Articolo"/>
    <w:rsid w:val="00935EB6"/>
    <w:rPr>
      <w:rFonts w:ascii="Cambria" w:eastAsia="Times New Roman" w:hAnsi="Cambria"/>
      <w:color w:val="000000"/>
      <w:w w:val="8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77B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77B7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946F98"/>
  </w:style>
  <w:style w:type="paragraph" w:styleId="Intestazione">
    <w:name w:val="header"/>
    <w:basedOn w:val="Normale"/>
    <w:link w:val="IntestazioneCarattere"/>
    <w:uiPriority w:val="99"/>
    <w:unhideWhenUsed/>
    <w:rsid w:val="00946F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6F98"/>
  </w:style>
  <w:style w:type="paragraph" w:styleId="Pidipagina">
    <w:name w:val="footer"/>
    <w:basedOn w:val="Normale"/>
    <w:link w:val="PidipaginaCarattere"/>
    <w:uiPriority w:val="99"/>
    <w:unhideWhenUsed/>
    <w:rsid w:val="00946F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6F98"/>
  </w:style>
  <w:style w:type="character" w:styleId="Numeropagina">
    <w:name w:val="page number"/>
    <w:basedOn w:val="Carpredefinitoparagrafo"/>
    <w:uiPriority w:val="99"/>
    <w:unhideWhenUsed/>
    <w:rsid w:val="00946F98"/>
    <w:rPr>
      <w:rFonts w:eastAsiaTheme="minorEastAsia" w:cstheme="minorBidi"/>
      <w:bCs w:val="0"/>
      <w:iCs w:val="0"/>
      <w:szCs w:val="22"/>
      <w:lang w:val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46F98"/>
    <w:pPr>
      <w:spacing w:before="48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2E74B5" w:themeColor="accent1" w:themeShade="BF"/>
      <w:w w:val="100"/>
    </w:rPr>
  </w:style>
  <w:style w:type="paragraph" w:styleId="Sommario1">
    <w:name w:val="toc 1"/>
    <w:basedOn w:val="Normale"/>
    <w:next w:val="Normale"/>
    <w:autoRedefine/>
    <w:uiPriority w:val="39"/>
    <w:unhideWhenUsed/>
    <w:rsid w:val="00946F98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946F98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946F98"/>
    <w:rPr>
      <w:color w:val="0563C1" w:themeColor="hyperlink"/>
      <w:u w:val="single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746172"/>
    <w:pPr>
      <w:spacing w:after="100"/>
      <w:ind w:left="440"/>
    </w:pPr>
  </w:style>
  <w:style w:type="paragraph" w:customStyle="1" w:styleId="Testo">
    <w:name w:val="Testo"/>
    <w:basedOn w:val="Normale"/>
    <w:link w:val="TestoCarattere"/>
    <w:qFormat/>
    <w:rsid w:val="00746172"/>
    <w:pPr>
      <w:spacing w:after="120" w:line="276" w:lineRule="auto"/>
      <w:jc w:val="both"/>
    </w:pPr>
    <w:rPr>
      <w:rFonts w:ascii="Cambria" w:hAnsi="Cambria"/>
      <w:w w:val="84"/>
      <w:lang w:val="it-IT"/>
    </w:rPr>
  </w:style>
  <w:style w:type="character" w:customStyle="1" w:styleId="TestoCarattere">
    <w:name w:val="Testo Carattere"/>
    <w:basedOn w:val="Carpredefinitoparagrafo"/>
    <w:link w:val="Testo"/>
    <w:rsid w:val="00746172"/>
    <w:rPr>
      <w:rFonts w:ascii="Cambria" w:hAnsi="Cambria"/>
      <w:w w:val="84"/>
      <w:lang w:val="it-IT"/>
    </w:rPr>
  </w:style>
  <w:style w:type="table" w:styleId="Grigliatabella">
    <w:name w:val="Table Grid"/>
    <w:basedOn w:val="Tabellanormale"/>
    <w:uiPriority w:val="39"/>
    <w:rsid w:val="00D77B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">
    <w:name w:val="Stile1"/>
    <w:basedOn w:val="TabellaWeb2"/>
    <w:uiPriority w:val="99"/>
    <w:rsid w:val="00D77B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D77B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317645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it-IT"/>
    </w:rPr>
  </w:style>
  <w:style w:type="table" w:customStyle="1" w:styleId="Stile11">
    <w:name w:val="Stile11"/>
    <w:basedOn w:val="TabellaWeb2"/>
    <w:uiPriority w:val="99"/>
    <w:rsid w:val="00264BEB"/>
    <w:rPr>
      <w:rFonts w:asciiTheme="minorHAnsi" w:eastAsiaTheme="minorHAnsi" w:hAnsiTheme="minorHAnsi" w:cstheme="minorBidi"/>
      <w:lang w:val="it-IT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9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23975-7BF0-4FAB-B79E-97DA505B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Ezio Guerci</dc:creator>
  <cp:lastModifiedBy>Melania Monaco</cp:lastModifiedBy>
  <cp:revision>10</cp:revision>
  <dcterms:created xsi:type="dcterms:W3CDTF">2014-01-23T09:43:00Z</dcterms:created>
  <dcterms:modified xsi:type="dcterms:W3CDTF">2014-01-24T10:28:00Z</dcterms:modified>
</cp:coreProperties>
</file>